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0B" w:rsidRDefault="00390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234" w:rsidRDefault="00D352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234">
        <w:rPr>
          <w:rFonts w:hAnsi="Times New Roman" w:cs="Times New Roman"/>
          <w:color w:val="000000"/>
          <w:sz w:val="24"/>
          <w:szCs w:val="24"/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676206929" r:id="rId9"/>
        </w:object>
      </w:r>
    </w:p>
    <w:p w:rsidR="00D35234" w:rsidRDefault="00D352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87110C" w:rsidRPr="007521EB" w:rsidRDefault="007521EB" w:rsidP="00CD79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84"/>
        <w:gridCol w:w="6776"/>
      </w:tblGrid>
      <w:tr w:rsidR="0087110C" w:rsidRPr="00D35234" w:rsidTr="007C5455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AD0F7A" w:rsidRDefault="007521EB" w:rsidP="00AD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7521EB" w:rsidRDefault="00913490" w:rsidP="009134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Дубковский детский сад</w:t>
            </w:r>
            <w:r w:rsidRPr="007521EB">
              <w:rPr>
                <w:lang w:val="ru-RU"/>
              </w:rPr>
              <w:br/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Дубковский детский сад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7110C" w:rsidTr="007C5455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B41683" w:rsidRDefault="00D74AA1" w:rsidP="009134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5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7C54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4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Дмитриенко </w:t>
            </w:r>
            <w:r w:rsidR="00132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Юлия Викторовна</w:t>
            </w:r>
          </w:p>
        </w:tc>
      </w:tr>
      <w:tr w:rsidR="0087110C" w:rsidRPr="00D35234" w:rsidTr="007C5455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7521EB" w:rsidRDefault="00B41683" w:rsidP="001326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1520</w:t>
            </w:r>
            <w:r w:rsidR="00132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Ярославская область Переславский район </w:t>
            </w:r>
            <w:r w:rsidR="007C5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п. </w:t>
            </w:r>
            <w:r w:rsidR="00132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Дубки</w:t>
            </w:r>
            <w:r w:rsidR="007C5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</w:t>
            </w:r>
            <w:proofErr w:type="gramStart"/>
            <w:r w:rsidR="00132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="00132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овая</w:t>
            </w:r>
            <w:r w:rsidR="007C54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д.1</w:t>
            </w:r>
            <w:r w:rsidR="00132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87110C" w:rsidRPr="001326D7" w:rsidTr="007C5455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B41683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6D7" w:rsidRPr="00B41683" w:rsidRDefault="00D74AA1" w:rsidP="001326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8/48535/</w:t>
            </w:r>
            <w:r w:rsidR="00132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4-12-41</w:t>
            </w:r>
          </w:p>
        </w:tc>
      </w:tr>
      <w:tr w:rsidR="0087110C" w:rsidRPr="001326D7" w:rsidTr="007C5455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B41683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1326D7" w:rsidRDefault="001326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>dietsad.kolobok@mail.ru</w:t>
            </w:r>
          </w:p>
        </w:tc>
      </w:tr>
      <w:tr w:rsidR="0087110C" w:rsidRPr="00D35234" w:rsidTr="007C5455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B41683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D74AA1" w:rsidRDefault="00D74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г. Переславля-Залесского</w:t>
            </w:r>
          </w:p>
        </w:tc>
      </w:tr>
      <w:tr w:rsidR="0087110C" w:rsidRPr="00D74AA1" w:rsidTr="007C5455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D74AA1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D74AA1" w:rsidRDefault="001326D7" w:rsidP="00D74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1974</w:t>
            </w:r>
            <w:r w:rsidR="007521EB" w:rsidRPr="00D74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87110C" w:rsidRPr="00D35234" w:rsidTr="007C5455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D74AA1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4AA1" w:rsidRPr="006053F7" w:rsidRDefault="001326D7" w:rsidP="001326D7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 577</w:t>
            </w:r>
            <w:r w:rsidR="009003DC">
              <w:rPr>
                <w:rFonts w:eastAsia="Calibri"/>
                <w:sz w:val="24"/>
                <w:szCs w:val="24"/>
                <w:lang w:val="ru-RU"/>
              </w:rPr>
              <w:t>/1</w:t>
            </w: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="009003DC">
              <w:rPr>
                <w:rFonts w:eastAsia="Calibri"/>
                <w:sz w:val="24"/>
                <w:szCs w:val="24"/>
                <w:lang w:val="ru-RU"/>
              </w:rPr>
              <w:t xml:space="preserve"> от 30.</w:t>
            </w:r>
            <w:r>
              <w:rPr>
                <w:rFonts w:eastAsia="Calibri"/>
                <w:sz w:val="24"/>
                <w:szCs w:val="24"/>
                <w:lang w:val="ru-RU"/>
              </w:rPr>
              <w:t>11</w:t>
            </w:r>
            <w:r w:rsidR="009003DC">
              <w:rPr>
                <w:rFonts w:eastAsia="Calibri"/>
                <w:sz w:val="24"/>
                <w:szCs w:val="24"/>
                <w:lang w:val="ru-RU"/>
              </w:rPr>
              <w:t>.20</w:t>
            </w:r>
            <w:r>
              <w:rPr>
                <w:rFonts w:eastAsia="Calibri"/>
                <w:sz w:val="24"/>
                <w:szCs w:val="24"/>
                <w:lang w:val="ru-RU"/>
              </w:rPr>
              <w:t>16г., серия 76Л02 №0001361</w:t>
            </w:r>
            <w:r w:rsidR="00D74AA1" w:rsidRPr="006053F7">
              <w:rPr>
                <w:rFonts w:eastAsia="Calibri"/>
                <w:sz w:val="24"/>
                <w:szCs w:val="24"/>
                <w:lang w:val="ru-RU"/>
              </w:rPr>
              <w:t xml:space="preserve">, выданная на </w:t>
            </w:r>
            <w:r w:rsidR="00D74AA1" w:rsidRPr="006053F7">
              <w:rPr>
                <w:sz w:val="24"/>
                <w:szCs w:val="24"/>
                <w:lang w:val="ru-RU"/>
              </w:rPr>
              <w:t>основании приказа Департамента образ</w:t>
            </w:r>
            <w:r w:rsidR="009003DC">
              <w:rPr>
                <w:sz w:val="24"/>
                <w:szCs w:val="24"/>
                <w:lang w:val="ru-RU"/>
              </w:rPr>
              <w:t>ова</w:t>
            </w:r>
            <w:r>
              <w:rPr>
                <w:sz w:val="24"/>
                <w:szCs w:val="24"/>
                <w:lang w:val="ru-RU"/>
              </w:rPr>
              <w:t>ния Ярославской области от 30.11</w:t>
            </w:r>
            <w:r w:rsidR="009003DC">
              <w:rPr>
                <w:sz w:val="24"/>
                <w:szCs w:val="24"/>
                <w:lang w:val="ru-RU"/>
              </w:rPr>
              <w:t>.201</w:t>
            </w:r>
            <w:r>
              <w:rPr>
                <w:sz w:val="24"/>
                <w:szCs w:val="24"/>
                <w:lang w:val="ru-RU"/>
              </w:rPr>
              <w:t>6г № 897/05-03</w:t>
            </w:r>
            <w:r w:rsidR="009003DC">
              <w:rPr>
                <w:sz w:val="24"/>
                <w:szCs w:val="24"/>
                <w:lang w:val="ru-RU"/>
              </w:rPr>
              <w:t xml:space="preserve">; </w:t>
            </w:r>
          </w:p>
        </w:tc>
      </w:tr>
    </w:tbl>
    <w:p w:rsidR="007C5455" w:rsidRPr="007C5455" w:rsidRDefault="007C5455" w:rsidP="007C5455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7C5455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7C5455">
        <w:rPr>
          <w:rFonts w:ascii="Times New Roman" w:hAnsi="Times New Roman" w:cs="Times New Roman"/>
          <w:sz w:val="24"/>
          <w:szCs w:val="24"/>
        </w:rPr>
        <w:t>  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дошкольное образовательное учреждение </w:t>
      </w:r>
      <w:r w:rsidR="001326D7">
        <w:rPr>
          <w:rFonts w:ascii="Times New Roman" w:hAnsi="Times New Roman" w:cs="Times New Roman"/>
          <w:sz w:val="24"/>
          <w:szCs w:val="24"/>
          <w:lang w:val="ru-RU"/>
        </w:rPr>
        <w:t xml:space="preserve">Дубковский 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(далее – </w:t>
      </w:r>
      <w:r w:rsidR="001326D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ДОУ) расположено в жилом районе поселка вдали от производящих предприятий и торговых мест. Здание </w:t>
      </w:r>
      <w:r w:rsidR="001326D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ДОУ построено по типовому проекту. Проектная наполняемость на 64 места. Общая площадь здания </w:t>
      </w:r>
      <w:r w:rsidR="001326D7">
        <w:rPr>
          <w:rFonts w:ascii="Times New Roman" w:hAnsi="Times New Roman" w:cs="Times New Roman"/>
          <w:sz w:val="24"/>
          <w:szCs w:val="24"/>
          <w:lang w:val="ru-RU"/>
        </w:rPr>
        <w:t>875,1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 кв.</w:t>
      </w:r>
      <w:r w:rsidRPr="007C5455">
        <w:rPr>
          <w:rFonts w:ascii="Times New Roman" w:hAnsi="Times New Roman" w:cs="Times New Roman"/>
          <w:sz w:val="24"/>
          <w:szCs w:val="24"/>
        </w:rPr>
        <w:t> 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м, из них площадь помещений, используемых непосредственно для нужд образовательного процесса, </w:t>
      </w:r>
      <w:r w:rsidR="001326D7">
        <w:rPr>
          <w:rFonts w:ascii="Times New Roman" w:hAnsi="Times New Roman" w:cs="Times New Roman"/>
          <w:sz w:val="24"/>
          <w:szCs w:val="24"/>
          <w:lang w:val="ru-RU"/>
        </w:rPr>
        <w:t>501,7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 кв.</w:t>
      </w:r>
      <w:r w:rsidRPr="007C5455">
        <w:rPr>
          <w:rFonts w:ascii="Times New Roman" w:hAnsi="Times New Roman" w:cs="Times New Roman"/>
          <w:sz w:val="24"/>
          <w:szCs w:val="24"/>
        </w:rPr>
        <w:t> 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C5455" w:rsidRPr="007C5455" w:rsidRDefault="007C5455" w:rsidP="007C54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Цель деятельности </w:t>
      </w:r>
      <w:r w:rsidR="001326D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>ДОУ – осуществление образовательной деятельности по реализации образовательных программ дошкольного образования.</w:t>
      </w:r>
    </w:p>
    <w:p w:rsidR="007C5455" w:rsidRPr="007C5455" w:rsidRDefault="007C5455" w:rsidP="007C54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Предметом деятельности </w:t>
      </w:r>
      <w:r w:rsidR="001326D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>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C5455" w:rsidRPr="007C5455" w:rsidRDefault="007C5455" w:rsidP="007C54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C5455">
        <w:rPr>
          <w:rFonts w:ascii="Times New Roman" w:hAnsi="Times New Roman" w:cs="Times New Roman"/>
          <w:sz w:val="24"/>
          <w:szCs w:val="24"/>
          <w:lang w:val="ru-RU"/>
        </w:rPr>
        <w:t xml:space="preserve">Режим работы </w:t>
      </w:r>
      <w:r w:rsidR="001326D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C5455">
        <w:rPr>
          <w:rFonts w:ascii="Times New Roman" w:hAnsi="Times New Roman" w:cs="Times New Roman"/>
          <w:sz w:val="24"/>
          <w:szCs w:val="24"/>
          <w:lang w:val="ru-RU"/>
        </w:rPr>
        <w:t>ДОУ</w:t>
      </w:r>
    </w:p>
    <w:p w:rsidR="007C5455" w:rsidRPr="007C5455" w:rsidRDefault="007C5455" w:rsidP="007C545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C5455">
        <w:rPr>
          <w:rFonts w:ascii="Times New Roman" w:hAnsi="Times New Roman" w:cs="Times New Roman"/>
          <w:sz w:val="24"/>
          <w:szCs w:val="24"/>
          <w:lang w:val="ru-RU"/>
        </w:rPr>
        <w:t>Рабочая неделя – пятидневная, с понедельника по пятницу. Длительность пребывания детей в группах – 10 часов. Режим работы групп – с 7:30 до 17:30.</w:t>
      </w:r>
    </w:p>
    <w:p w:rsidR="007C5455" w:rsidRPr="007C5455" w:rsidRDefault="007C5455" w:rsidP="007C5455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39060B" w:rsidRDefault="0039060B" w:rsidP="00CD79D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60B" w:rsidRDefault="0039060B" w:rsidP="00CD79D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60B" w:rsidRDefault="0039060B" w:rsidP="00CD79D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="00CD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управления, действующие в </w:t>
      </w:r>
      <w:r w:rsidR="00D7436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7"/>
        <w:gridCol w:w="7078"/>
      </w:tblGrid>
      <w:tr w:rsidR="0087110C" w:rsidTr="009B5515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7110C" w:rsidRPr="00D35234" w:rsidTr="009B5515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7110C" w:rsidTr="009B5515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="00CD79D3">
              <w:rPr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110C" w:rsidRPr="00CD79D3" w:rsidRDefault="007521EB" w:rsidP="00CD79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7110C" w:rsidRPr="007521EB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7110C" w:rsidRPr="007521EB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7110C" w:rsidRPr="00D35234" w:rsidTr="009B5515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участвовать в 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управлении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="00CD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 система управления соответствуют специфике деятельности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:rsidR="007C5455" w:rsidRPr="007C5455" w:rsidRDefault="007C5455" w:rsidP="007C5455">
      <w:pPr>
        <w:spacing w:after="0"/>
        <w:rPr>
          <w:rFonts w:ascii="Times New Roman" w:hAnsi="Times New Roman" w:cs="Times New Roman"/>
          <w:szCs w:val="24"/>
          <w:lang w:val="ru-RU"/>
        </w:rPr>
      </w:pPr>
      <w:r w:rsidRPr="007C5455">
        <w:rPr>
          <w:rFonts w:ascii="Times New Roman" w:hAnsi="Times New Roman" w:cs="Times New Roman"/>
          <w:szCs w:val="24"/>
          <w:lang w:val="ru-RU"/>
        </w:rPr>
        <w:t>Детский сад посещаю</w:t>
      </w:r>
      <w:r w:rsidR="00E21A3A">
        <w:rPr>
          <w:rFonts w:ascii="Times New Roman" w:hAnsi="Times New Roman" w:cs="Times New Roman"/>
          <w:szCs w:val="24"/>
          <w:lang w:val="ru-RU"/>
        </w:rPr>
        <w:t xml:space="preserve">т </w:t>
      </w:r>
      <w:r w:rsidR="001326D7">
        <w:rPr>
          <w:rFonts w:ascii="Times New Roman" w:hAnsi="Times New Roman" w:cs="Times New Roman"/>
          <w:szCs w:val="24"/>
          <w:lang w:val="ru-RU"/>
        </w:rPr>
        <w:t>3</w:t>
      </w:r>
      <w:r w:rsidR="00A960D7">
        <w:rPr>
          <w:rFonts w:ascii="Times New Roman" w:hAnsi="Times New Roman" w:cs="Times New Roman"/>
          <w:szCs w:val="24"/>
          <w:lang w:val="ru-RU"/>
        </w:rPr>
        <w:t>9</w:t>
      </w:r>
      <w:r w:rsidR="001326D7">
        <w:rPr>
          <w:rFonts w:ascii="Times New Roman" w:hAnsi="Times New Roman" w:cs="Times New Roman"/>
          <w:szCs w:val="24"/>
          <w:lang w:val="ru-RU"/>
        </w:rPr>
        <w:t xml:space="preserve"> </w:t>
      </w:r>
      <w:r w:rsidRPr="007C5455">
        <w:rPr>
          <w:rFonts w:ascii="Times New Roman" w:hAnsi="Times New Roman" w:cs="Times New Roman"/>
          <w:szCs w:val="24"/>
          <w:lang w:val="ru-RU"/>
        </w:rPr>
        <w:t xml:space="preserve">воспитанников в возрасте от 1,5 до 7 лет. В </w:t>
      </w:r>
      <w:r w:rsidR="001326D7">
        <w:rPr>
          <w:rFonts w:ascii="Times New Roman" w:hAnsi="Times New Roman" w:cs="Times New Roman"/>
          <w:szCs w:val="24"/>
          <w:lang w:val="ru-RU"/>
        </w:rPr>
        <w:t>М</w:t>
      </w:r>
      <w:r w:rsidRPr="007C5455">
        <w:rPr>
          <w:rFonts w:ascii="Times New Roman" w:hAnsi="Times New Roman" w:cs="Times New Roman"/>
          <w:szCs w:val="24"/>
          <w:lang w:val="ru-RU"/>
        </w:rPr>
        <w:t>ДОУ сформировано 3 группы общеразвивающей направленности. Из них:</w:t>
      </w:r>
    </w:p>
    <w:p w:rsidR="007C5455" w:rsidRPr="007C5455" w:rsidRDefault="007C5455" w:rsidP="007C5455">
      <w:pPr>
        <w:spacing w:after="0"/>
        <w:rPr>
          <w:rFonts w:ascii="Times New Roman" w:hAnsi="Times New Roman" w:cs="Times New Roman"/>
          <w:szCs w:val="24"/>
          <w:lang w:val="ru-RU"/>
        </w:rPr>
      </w:pPr>
      <w:r w:rsidRPr="007C5455">
        <w:rPr>
          <w:rFonts w:ascii="Times New Roman" w:hAnsi="Times New Roman" w:cs="Times New Roman"/>
          <w:szCs w:val="24"/>
          <w:lang w:val="ru-RU"/>
        </w:rPr>
        <w:t xml:space="preserve">− ясельная группа  – </w:t>
      </w:r>
      <w:r>
        <w:rPr>
          <w:rFonts w:ascii="Times New Roman" w:hAnsi="Times New Roman" w:cs="Times New Roman"/>
          <w:szCs w:val="24"/>
          <w:lang w:val="ru-RU"/>
        </w:rPr>
        <w:t>8</w:t>
      </w:r>
      <w:r w:rsidRPr="007C5455">
        <w:rPr>
          <w:rFonts w:ascii="Times New Roman" w:hAnsi="Times New Roman" w:cs="Times New Roman"/>
          <w:szCs w:val="24"/>
          <w:lang w:val="ru-RU"/>
        </w:rPr>
        <w:t xml:space="preserve"> детей;</w:t>
      </w:r>
    </w:p>
    <w:p w:rsidR="007C5455" w:rsidRPr="007C5455" w:rsidRDefault="007C5455" w:rsidP="007C5455">
      <w:pPr>
        <w:spacing w:after="0"/>
        <w:rPr>
          <w:rFonts w:ascii="Times New Roman" w:hAnsi="Times New Roman" w:cs="Times New Roman"/>
          <w:szCs w:val="24"/>
          <w:lang w:val="ru-RU"/>
        </w:rPr>
      </w:pPr>
      <w:r w:rsidRPr="007C5455">
        <w:rPr>
          <w:rFonts w:ascii="Times New Roman" w:hAnsi="Times New Roman" w:cs="Times New Roman"/>
          <w:szCs w:val="24"/>
          <w:lang w:val="ru-RU"/>
        </w:rPr>
        <w:t xml:space="preserve">− младшая -  средняя </w:t>
      </w:r>
      <w:r w:rsidR="00E21A3A">
        <w:rPr>
          <w:rFonts w:ascii="Times New Roman" w:hAnsi="Times New Roman" w:cs="Times New Roman"/>
          <w:szCs w:val="24"/>
          <w:lang w:val="ru-RU"/>
        </w:rPr>
        <w:t>группа – 1</w:t>
      </w:r>
      <w:r w:rsidR="00A960D7">
        <w:rPr>
          <w:rFonts w:ascii="Times New Roman" w:hAnsi="Times New Roman" w:cs="Times New Roman"/>
          <w:szCs w:val="24"/>
          <w:lang w:val="ru-RU"/>
        </w:rPr>
        <w:t>5</w:t>
      </w:r>
      <w:r w:rsidRPr="007C5455">
        <w:rPr>
          <w:rFonts w:ascii="Times New Roman" w:hAnsi="Times New Roman" w:cs="Times New Roman"/>
          <w:szCs w:val="24"/>
          <w:lang w:val="ru-RU"/>
        </w:rPr>
        <w:t xml:space="preserve"> детей;</w:t>
      </w:r>
    </w:p>
    <w:p w:rsidR="007C5455" w:rsidRPr="007C5455" w:rsidRDefault="007C5455" w:rsidP="007C5455">
      <w:pPr>
        <w:spacing w:after="0"/>
        <w:rPr>
          <w:rFonts w:ascii="Times New Roman" w:hAnsi="Times New Roman" w:cs="Times New Roman"/>
          <w:szCs w:val="24"/>
          <w:lang w:val="ru-RU"/>
        </w:rPr>
      </w:pPr>
      <w:r w:rsidRPr="007C5455">
        <w:rPr>
          <w:rFonts w:ascii="Times New Roman" w:hAnsi="Times New Roman" w:cs="Times New Roman"/>
          <w:szCs w:val="24"/>
          <w:lang w:val="ru-RU"/>
        </w:rPr>
        <w:t>− старша</w:t>
      </w:r>
      <w:r w:rsidR="00A960D7">
        <w:rPr>
          <w:rFonts w:ascii="Times New Roman" w:hAnsi="Times New Roman" w:cs="Times New Roman"/>
          <w:szCs w:val="24"/>
          <w:lang w:val="ru-RU"/>
        </w:rPr>
        <w:t>я – подготовительная группа – 14</w:t>
      </w:r>
      <w:r w:rsidRPr="007C5455">
        <w:rPr>
          <w:rFonts w:ascii="Times New Roman" w:hAnsi="Times New Roman" w:cs="Times New Roman"/>
          <w:szCs w:val="24"/>
          <w:lang w:val="ru-RU"/>
        </w:rPr>
        <w:t xml:space="preserve"> ребенка;</w:t>
      </w:r>
    </w:p>
    <w:p w:rsidR="00433408" w:rsidRPr="00D167C8" w:rsidRDefault="00433408" w:rsidP="0043340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10C" w:rsidRPr="00433408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 w:rsidRPr="00433408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87110C" w:rsidRPr="007521EB" w:rsidRDefault="007521EB" w:rsidP="00CD79D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87110C" w:rsidRDefault="007521EB" w:rsidP="00CD79D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Default="007521EB" w:rsidP="00CD79D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87110C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003DC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39060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A960D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Задания позволили оценить уровень сформированности предпосылок к 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возможностей распределения и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переключения внимания, работоспособности, темпа, целенаправленности деятельности и самоконтроля.</w:t>
      </w:r>
      <w:proofErr w:type="gramEnd"/>
    </w:p>
    <w:tbl>
      <w:tblPr>
        <w:tblStyle w:val="a6"/>
        <w:tblW w:w="0" w:type="auto"/>
        <w:tblLook w:val="04A0"/>
      </w:tblPr>
      <w:tblGrid>
        <w:gridCol w:w="2405"/>
        <w:gridCol w:w="2143"/>
        <w:gridCol w:w="1648"/>
        <w:gridCol w:w="1896"/>
        <w:gridCol w:w="1484"/>
      </w:tblGrid>
      <w:tr w:rsidR="00CB7900" w:rsidRPr="00CB7900" w:rsidTr="00856042">
        <w:tc>
          <w:tcPr>
            <w:tcW w:w="5289" w:type="dxa"/>
          </w:tcPr>
          <w:p w:rsidR="00CB7900" w:rsidRPr="00CB7900" w:rsidRDefault="00CB7900" w:rsidP="00CB7900">
            <w:pPr>
              <w:ind w:left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B7900" w:rsidRPr="00CB7900" w:rsidRDefault="00CB7900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00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993" w:type="dxa"/>
          </w:tcPr>
          <w:p w:rsidR="00CB7900" w:rsidRPr="00CB7900" w:rsidRDefault="00CB7900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00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128" w:type="dxa"/>
          </w:tcPr>
          <w:p w:rsidR="00CB7900" w:rsidRPr="00CB7900" w:rsidRDefault="00CB7900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00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904" w:type="dxa"/>
          </w:tcPr>
          <w:p w:rsidR="00CB7900" w:rsidRPr="00CB7900" w:rsidRDefault="00CB7900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00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</w:tr>
      <w:tr w:rsidR="00CB7900" w:rsidRPr="00CB7900" w:rsidTr="00856042">
        <w:tc>
          <w:tcPr>
            <w:tcW w:w="5289" w:type="dxa"/>
          </w:tcPr>
          <w:p w:rsidR="00CB7900" w:rsidRPr="00CB7900" w:rsidRDefault="00CB7900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0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62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7900" w:rsidRPr="00CB7900" w:rsidTr="00856042">
        <w:tc>
          <w:tcPr>
            <w:tcW w:w="5289" w:type="dxa"/>
          </w:tcPr>
          <w:p w:rsidR="00CB7900" w:rsidRPr="00CB7900" w:rsidRDefault="00CB7900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0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62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7900" w:rsidRPr="00CB7900" w:rsidTr="00856042">
        <w:tc>
          <w:tcPr>
            <w:tcW w:w="5289" w:type="dxa"/>
          </w:tcPr>
          <w:p w:rsidR="00CB7900" w:rsidRPr="00CB7900" w:rsidRDefault="00CB7900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0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62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B7900" w:rsidRPr="00CB7900" w:rsidRDefault="00A960D7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B7900" w:rsidRPr="00CB7900" w:rsidRDefault="00CB7900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CB7900" w:rsidRPr="00CB7900" w:rsidRDefault="00CB7900" w:rsidP="00CB7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56042" w:rsidRDefault="005736D8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848225" cy="24288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7110C" w:rsidRPr="007521EB" w:rsidRDefault="007521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</w:t>
      </w:r>
      <w:r w:rsidR="00A960D7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году проводился анализ состава семей воспитанников.</w:t>
      </w:r>
    </w:p>
    <w:p w:rsidR="0087110C" w:rsidRDefault="007521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918"/>
        <w:gridCol w:w="4319"/>
      </w:tblGrid>
      <w:tr w:rsidR="0087110C" w:rsidRPr="00D35234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CD79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7110C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080A24" w:rsidRDefault="00A960D7" w:rsidP="00037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A960D7" w:rsidP="00037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080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080A24" w:rsidRDefault="00A960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A960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080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080A24" w:rsidRDefault="00D16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5B02A8" w:rsidP="00080A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80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080A24" w:rsidRDefault="00A960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A960D7" w:rsidP="00080A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80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56042" w:rsidRDefault="008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110C" w:rsidRPr="00A94428" w:rsidRDefault="007521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4428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119"/>
        <w:gridCol w:w="3189"/>
      </w:tblGrid>
      <w:tr w:rsidR="0087110C" w:rsidRPr="00D35234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CD79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7110C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080A24" w:rsidRDefault="00D16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D16992" w:rsidRDefault="00D16992" w:rsidP="00037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38%</w:t>
            </w:r>
          </w:p>
        </w:tc>
      </w:tr>
      <w:tr w:rsidR="0087110C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080A24" w:rsidRDefault="00D16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D16992" w:rsidRDefault="00D16992" w:rsidP="00D16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44%</w:t>
            </w:r>
          </w:p>
        </w:tc>
      </w:tr>
      <w:tr w:rsidR="0087110C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080A24" w:rsidRDefault="00D16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D16992" w:rsidRDefault="00D16992" w:rsidP="00037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18%</w:t>
            </w:r>
          </w:p>
        </w:tc>
      </w:tr>
    </w:tbl>
    <w:p w:rsidR="005736D8" w:rsidRDefault="005736D8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 w:rsidR="00D16992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показателям.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</w:t>
      </w:r>
      <w:r w:rsidR="00080A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80A2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336F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года воспитанники Детского сада успешно участвовали в конкурсах и мероприятиях различного уровня.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07908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="00336F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F20F6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336F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родителей,</w:t>
      </w:r>
      <w:r w:rsidR="00336FA6" w:rsidRPr="00336F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целью изучения степени удовлетворенности качеством предоставляемой услуги в дошкольном учреждении,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получены следующие результаты:</w:t>
      </w:r>
    </w:p>
    <w:p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вежливость работников организации, – </w:t>
      </w:r>
      <w:r w:rsidR="00C07908">
        <w:rPr>
          <w:rFonts w:hAnsi="Times New Roman" w:cs="Times New Roman"/>
          <w:color w:val="000000"/>
          <w:sz w:val="24"/>
          <w:szCs w:val="24"/>
          <w:lang w:val="ru-RU"/>
        </w:rPr>
        <w:t xml:space="preserve">98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336FA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организации, – </w:t>
      </w:r>
      <w:r w:rsidR="00336FA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336FA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организации, – </w:t>
      </w:r>
      <w:r w:rsidR="00C07908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процент;</w:t>
      </w:r>
    </w:p>
    <w:p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услуг, – </w:t>
      </w:r>
      <w:r w:rsidR="00336FA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336FA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Анкетирование родителей показало </w:t>
      </w:r>
      <w:r w:rsidR="009003DC">
        <w:rPr>
          <w:rFonts w:hAnsi="Times New Roman" w:cs="Times New Roman"/>
          <w:color w:val="000000"/>
          <w:sz w:val="24"/>
          <w:szCs w:val="24"/>
          <w:lang w:val="ru-RU"/>
        </w:rPr>
        <w:t xml:space="preserve">хорошую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предоставляемых услуг.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C0790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Соотношение воспитанников, приходящихся на 1 взрослого:</w:t>
      </w:r>
    </w:p>
    <w:p w:rsidR="0087110C" w:rsidRDefault="007521EB" w:rsidP="003F184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C07908">
        <w:rPr>
          <w:rFonts w:hAnsi="Times New Roman" w:cs="Times New Roman"/>
          <w:color w:val="000000"/>
          <w:sz w:val="24"/>
          <w:szCs w:val="24"/>
          <w:lang w:val="ru-RU"/>
        </w:rPr>
        <w:t>9/</w:t>
      </w:r>
      <w:r>
        <w:rPr>
          <w:rFonts w:hAnsi="Times New Roman" w:cs="Times New Roman"/>
          <w:color w:val="000000"/>
          <w:sz w:val="24"/>
          <w:szCs w:val="24"/>
        </w:rPr>
        <w:t>1;</w:t>
      </w:r>
    </w:p>
    <w:p w:rsidR="0087110C" w:rsidRDefault="007521EB" w:rsidP="003F184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053F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</w:t>
      </w:r>
      <w:r w:rsidR="0060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F20F6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 </w:t>
      </w:r>
      <w:r w:rsidR="00C07908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="006053F7">
        <w:rPr>
          <w:rFonts w:hAnsi="Times New Roman" w:cs="Times New Roman"/>
          <w:color w:val="000000"/>
          <w:sz w:val="24"/>
          <w:szCs w:val="24"/>
          <w:lang w:val="ru-RU"/>
        </w:rPr>
        <w:t xml:space="preserve">% педагогов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 w:rsidR="006053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 итогам 20</w:t>
      </w:r>
      <w:r w:rsidR="00F20F6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готов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перейти на применение профессиональных стандартов. </w:t>
      </w:r>
      <w:r w:rsidR="006053F7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60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квалификационным требованиям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«Педагог».</w:t>
      </w:r>
    </w:p>
    <w:p w:rsidR="00311B40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Диаграмма с характеристиками кадрового состава Детского сада</w:t>
      </w:r>
    </w:p>
    <w:p w:rsidR="00311B40" w:rsidRDefault="004C76D1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1B40" w:rsidRDefault="00311B40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 работников:</w:t>
      </w:r>
    </w:p>
    <w:p w:rsidR="003B27DB" w:rsidRPr="00037163" w:rsidRDefault="00311B40" w:rsidP="000371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1999397"/>
            <wp:effectExtent l="0" t="0" r="0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037163" w:rsidRDefault="00037163" w:rsidP="003F184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163">
        <w:rPr>
          <w:rFonts w:ascii="Times New Roman" w:eastAsia="Times New Roman" w:hAnsi="Times New Roman" w:cs="Times New Roman"/>
          <w:sz w:val="24"/>
          <w:szCs w:val="24"/>
          <w:lang w:val="ru-RU"/>
        </w:rPr>
        <w:t>В Детском саду имеется методическая литература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87110C" w:rsidRPr="00037163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</w:t>
      </w:r>
      <w:r w:rsidR="00F20F6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кт к пр</w:t>
      </w:r>
      <w:proofErr w:type="gram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  <w:r w:rsidRPr="00037163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87110C" w:rsidRPr="007521EB" w:rsidRDefault="007521EB" w:rsidP="003F184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серии «Мир в картинках», «Рассказы по картинкам», «Расскажите детям о…»,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 картинках», «Искусство детям»;</w:t>
      </w:r>
    </w:p>
    <w:p w:rsidR="0087110C" w:rsidRDefault="007521EB" w:rsidP="003F184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Pr="007521EB" w:rsidRDefault="007521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87110C" w:rsidRDefault="007521E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110C" w:rsidRPr="007521EB" w:rsidRDefault="00037163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озданы условия для возможности организации совместной деятельности педагогов. </w:t>
      </w:r>
    </w:p>
    <w:p w:rsidR="00037163" w:rsidRPr="00037163" w:rsidRDefault="00037163" w:rsidP="0003716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16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Информационное обеспечение Детского сада включает:</w:t>
      </w:r>
    </w:p>
    <w:p w:rsidR="00037163" w:rsidRPr="00037163" w:rsidRDefault="00037163" w:rsidP="0003716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1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− информационно-телекоммуникационное оборудование </w:t>
      </w:r>
    </w:p>
    <w:p w:rsidR="00037163" w:rsidRPr="00037163" w:rsidRDefault="00037163" w:rsidP="0003716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1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− программное обеспечение – позволяет работать с текстовыми редакторами, </w:t>
      </w:r>
      <w:proofErr w:type="spellStart"/>
      <w:r w:rsidRPr="00037163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037163">
        <w:rPr>
          <w:rFonts w:ascii="Times New Roman" w:eastAsia="Times New Roman" w:hAnsi="Times New Roman" w:cs="Times New Roman"/>
          <w:sz w:val="24"/>
          <w:szCs w:val="24"/>
          <w:lang w:val="ru-RU"/>
        </w:rPr>
        <w:t>, фото-, видеоматериалами, графическими редакторами.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7110C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4856D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7110C" w:rsidRPr="00F20F6B" w:rsidRDefault="004856DA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музыкальный зал - 1</w:t>
      </w:r>
      <w:r w:rsidR="007521EB">
        <w:rPr>
          <w:rFonts w:hAnsi="Times New Roman" w:cs="Times New Roman"/>
          <w:color w:val="000000"/>
          <w:sz w:val="24"/>
          <w:szCs w:val="24"/>
        </w:rPr>
        <w:t>;</w:t>
      </w:r>
    </w:p>
    <w:p w:rsidR="00F20F6B" w:rsidRPr="00F20F6B" w:rsidRDefault="00F20F6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зал- 1</w:t>
      </w:r>
    </w:p>
    <w:p w:rsidR="00F20F6B" w:rsidRDefault="00F20F6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логопедический кабинет-1</w:t>
      </w:r>
    </w:p>
    <w:p w:rsidR="0087110C" w:rsidRDefault="004856DA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медицинский кабинет </w:t>
      </w:r>
      <w:r w:rsidR="007521EB">
        <w:rPr>
          <w:rFonts w:hAnsi="Times New Roman" w:cs="Times New Roman"/>
          <w:color w:val="000000"/>
          <w:sz w:val="24"/>
          <w:szCs w:val="24"/>
        </w:rPr>
        <w:t>–</w:t>
      </w:r>
      <w:r w:rsidR="00037163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0371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F20F6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текущий ремонт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0371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Построили новые малые архитектурные формы и игровое оборудование на участке. Провели переоформление </w:t>
      </w:r>
      <w:r w:rsidR="00037163">
        <w:rPr>
          <w:rFonts w:hAnsi="Times New Roman" w:cs="Times New Roman"/>
          <w:color w:val="000000"/>
          <w:sz w:val="24"/>
          <w:szCs w:val="24"/>
          <w:lang w:val="ru-RU"/>
        </w:rPr>
        <w:t>уголка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ПДД.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20F6B" w:rsidRPr="00F20F6B" w:rsidRDefault="0003538A" w:rsidP="00F20F6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ПОКАЗАТЕЛИ</w:t>
      </w:r>
      <w:r>
        <w:rPr>
          <w:rFonts w:ascii="Times New Roman" w:hAnsi="Times New Roman"/>
          <w:b/>
          <w:sz w:val="24"/>
          <w:szCs w:val="24"/>
          <w:lang w:val="ru-RU"/>
        </w:rPr>
        <w:br/>
        <w:t xml:space="preserve"> </w:t>
      </w:r>
      <w:r w:rsidR="00F20F6B" w:rsidRPr="00F20F6B">
        <w:rPr>
          <w:rFonts w:ascii="Times New Roman" w:hAnsi="Times New Roman"/>
          <w:b/>
          <w:sz w:val="24"/>
          <w:szCs w:val="24"/>
          <w:lang w:val="ru-RU"/>
        </w:rPr>
        <w:t xml:space="preserve">    деятельности  МДОУ Дубковского детского сада  за </w:t>
      </w:r>
      <w:r w:rsidR="00F20F6B" w:rsidRPr="00F20F6B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 xml:space="preserve">2020 </w:t>
      </w:r>
      <w:r w:rsidR="00F20F6B" w:rsidRPr="00F20F6B">
        <w:rPr>
          <w:rFonts w:ascii="Times New Roman" w:hAnsi="Times New Roman"/>
          <w:b/>
          <w:sz w:val="24"/>
          <w:szCs w:val="24"/>
          <w:lang w:val="ru-RU"/>
        </w:rPr>
        <w:t>год</w:t>
      </w:r>
    </w:p>
    <w:tbl>
      <w:tblPr>
        <w:tblW w:w="493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9"/>
        <w:gridCol w:w="6388"/>
        <w:gridCol w:w="1808"/>
      </w:tblGrid>
      <w:tr w:rsidR="00F20F6B" w:rsidRPr="00F10502" w:rsidTr="00766406">
        <w:trPr>
          <w:trHeight w:val="139"/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5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  <w:proofErr w:type="spellEnd"/>
            <w:r w:rsidRPr="00F105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F20F6B" w:rsidRPr="00F10502" w:rsidTr="00766406">
        <w:trPr>
          <w:trHeight w:val="123"/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F105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0F6B" w:rsidRPr="00F10502" w:rsidTr="00766406">
        <w:trPr>
          <w:trHeight w:val="657"/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03538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38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(8.30 – 17.30 (10часов))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03538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38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семейной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дошкольной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 в возрасте от 1,5 до 3  лет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03538A" w:rsidRDefault="0003538A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 в возрасте от  3 до 5  лет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03538A" w:rsidRDefault="0003538A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воспитанников в возрасте от 5 до 7 лет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03538A" w:rsidRDefault="0003538A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F20F6B" w:rsidRPr="00F10502" w:rsidTr="00766406">
        <w:trPr>
          <w:trHeight w:val="797"/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03538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38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(8.30 – 17.30 (10 часов))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03538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38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В режиме продленного дня (12 - 14 часов)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круглосуточного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присмотру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4человека/60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1/20%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0F6B" w:rsidRPr="00D35234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1/10%</w:t>
            </w:r>
          </w:p>
        </w:tc>
      </w:tr>
      <w:tr w:rsidR="00F20F6B" w:rsidRPr="00F10502" w:rsidTr="00766406">
        <w:trPr>
          <w:trHeight w:val="114"/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F6B" w:rsidRPr="00F10502" w:rsidTr="00766406">
        <w:trPr>
          <w:trHeight w:val="114"/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5\90%человека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1/10%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30 лет до 50 лет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5/9</w:t>
            </w:r>
          </w:p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пед.работник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F20F6B" w:rsidRPr="00D35234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Инструктора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875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Логопедический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физкультурного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20F6B" w:rsidRPr="00F10502" w:rsidTr="00766406">
        <w:trPr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proofErr w:type="spellEnd"/>
            <w:r w:rsidRPr="00F1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20F6B" w:rsidRPr="00F10502" w:rsidTr="00766406">
        <w:trPr>
          <w:trHeight w:val="885"/>
          <w:tblCellSpacing w:w="0" w:type="dxa"/>
        </w:trPr>
        <w:tc>
          <w:tcPr>
            <w:tcW w:w="68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02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20F6B" w:rsidRDefault="00F20F6B" w:rsidP="0076640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6B">
              <w:rPr>
                <w:rFonts w:ascii="Times New Roman" w:hAnsi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5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0F6B" w:rsidRPr="00F10502" w:rsidRDefault="00F20F6B" w:rsidP="00766406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50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F20F6B" w:rsidRPr="00F10502" w:rsidRDefault="00F20F6B" w:rsidP="00F20F6B">
      <w:pPr>
        <w:pStyle w:val="ab"/>
        <w:spacing w:before="0" w:beforeAutospacing="0" w:after="0" w:afterAutospacing="0"/>
        <w:ind w:firstLine="0"/>
        <w:rPr>
          <w:rStyle w:val="FontStyle12"/>
        </w:rPr>
      </w:pPr>
    </w:p>
    <w:p w:rsidR="00F20F6B" w:rsidRPr="00F20F6B" w:rsidRDefault="00F20F6B" w:rsidP="00F20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F20F6B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Анализ показателей указывает на то, что МДОУ Дубковский детский сад имеет достаточную инфраструктуру, которая соответствует СанПиН 2.4.1.3049-13 « Санитарно-эпидемиологические требования к устройству, содержанию и организации режима работы дошкольных образовательных организаций» и позволит реализовывать образовательные программы  в полном объеме в соответствии с ФГОС </w:t>
      </w:r>
      <w:proofErr w:type="gramStart"/>
      <w:r w:rsidRPr="00F20F6B">
        <w:rPr>
          <w:rFonts w:ascii="Times New Roman" w:hAnsi="Times New Roman" w:cs="Times New Roman"/>
          <w:color w:val="00000A"/>
          <w:sz w:val="24"/>
          <w:szCs w:val="24"/>
          <w:lang w:val="ru-RU"/>
        </w:rPr>
        <w:t>ДО</w:t>
      </w:r>
      <w:proofErr w:type="gramEnd"/>
      <w:r w:rsidRPr="00F20F6B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F20F6B" w:rsidRPr="00F20F6B" w:rsidRDefault="00F20F6B" w:rsidP="00F20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F20F6B">
        <w:rPr>
          <w:rFonts w:ascii="Times New Roman" w:hAnsi="Times New Roman" w:cs="Times New Roman"/>
          <w:color w:val="00000A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F20F6B" w:rsidRPr="00F20F6B" w:rsidRDefault="00F20F6B" w:rsidP="00F20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87110C" w:rsidRPr="007521EB" w:rsidRDefault="0087110C" w:rsidP="00F20F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110C" w:rsidRPr="007521EB" w:rsidSect="00913490">
      <w:pgSz w:w="12240" w:h="15840"/>
      <w:pgMar w:top="709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2C" w:rsidRDefault="00D5132C" w:rsidP="00311B40">
      <w:pPr>
        <w:spacing w:before="0" w:after="0"/>
      </w:pPr>
      <w:r>
        <w:separator/>
      </w:r>
    </w:p>
  </w:endnote>
  <w:endnote w:type="continuationSeparator" w:id="0">
    <w:p w:rsidR="00D5132C" w:rsidRDefault="00D5132C" w:rsidP="00311B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2C" w:rsidRDefault="00D5132C" w:rsidP="00311B40">
      <w:pPr>
        <w:spacing w:before="0" w:after="0"/>
      </w:pPr>
      <w:r>
        <w:separator/>
      </w:r>
    </w:p>
  </w:footnote>
  <w:footnote w:type="continuationSeparator" w:id="0">
    <w:p w:rsidR="00D5132C" w:rsidRDefault="00D5132C" w:rsidP="00311B4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80AB8"/>
    <w:multiLevelType w:val="hybridMultilevel"/>
    <w:tmpl w:val="C0A4C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3538A"/>
    <w:rsid w:val="00037163"/>
    <w:rsid w:val="00080A24"/>
    <w:rsid w:val="000A0BEC"/>
    <w:rsid w:val="000B0C06"/>
    <w:rsid w:val="000B2716"/>
    <w:rsid w:val="001326D7"/>
    <w:rsid w:val="001A15DB"/>
    <w:rsid w:val="001B3479"/>
    <w:rsid w:val="00223BA4"/>
    <w:rsid w:val="002243A7"/>
    <w:rsid w:val="002C0EEA"/>
    <w:rsid w:val="002D33B1"/>
    <w:rsid w:val="002D3591"/>
    <w:rsid w:val="00302F7F"/>
    <w:rsid w:val="00311B40"/>
    <w:rsid w:val="00336FA6"/>
    <w:rsid w:val="003514A0"/>
    <w:rsid w:val="0037663B"/>
    <w:rsid w:val="0039060B"/>
    <w:rsid w:val="003B27DB"/>
    <w:rsid w:val="003E62F7"/>
    <w:rsid w:val="003F1843"/>
    <w:rsid w:val="00402E0C"/>
    <w:rsid w:val="00433408"/>
    <w:rsid w:val="00437E95"/>
    <w:rsid w:val="004856DA"/>
    <w:rsid w:val="00485AED"/>
    <w:rsid w:val="004C76D1"/>
    <w:rsid w:val="004F7E17"/>
    <w:rsid w:val="00513A5F"/>
    <w:rsid w:val="005736D8"/>
    <w:rsid w:val="0057413D"/>
    <w:rsid w:val="005863D0"/>
    <w:rsid w:val="005A05CE"/>
    <w:rsid w:val="005B02A8"/>
    <w:rsid w:val="006053F7"/>
    <w:rsid w:val="006468E2"/>
    <w:rsid w:val="00653AF6"/>
    <w:rsid w:val="00654CD0"/>
    <w:rsid w:val="006C4E2D"/>
    <w:rsid w:val="006E7533"/>
    <w:rsid w:val="00723063"/>
    <w:rsid w:val="0073516E"/>
    <w:rsid w:val="007521EB"/>
    <w:rsid w:val="007C4730"/>
    <w:rsid w:val="007C5455"/>
    <w:rsid w:val="007E1158"/>
    <w:rsid w:val="00803482"/>
    <w:rsid w:val="00821725"/>
    <w:rsid w:val="00856042"/>
    <w:rsid w:val="0087110C"/>
    <w:rsid w:val="009003DC"/>
    <w:rsid w:val="00913490"/>
    <w:rsid w:val="009B5515"/>
    <w:rsid w:val="009D5328"/>
    <w:rsid w:val="009E0FAB"/>
    <w:rsid w:val="00A2206F"/>
    <w:rsid w:val="00A35EB2"/>
    <w:rsid w:val="00A5474E"/>
    <w:rsid w:val="00A94428"/>
    <w:rsid w:val="00A960D7"/>
    <w:rsid w:val="00AB6A7E"/>
    <w:rsid w:val="00AD0F7A"/>
    <w:rsid w:val="00B002BF"/>
    <w:rsid w:val="00B27581"/>
    <w:rsid w:val="00B41683"/>
    <w:rsid w:val="00B707FA"/>
    <w:rsid w:val="00B73A5A"/>
    <w:rsid w:val="00BD3EDE"/>
    <w:rsid w:val="00C07908"/>
    <w:rsid w:val="00C440B5"/>
    <w:rsid w:val="00C51BBE"/>
    <w:rsid w:val="00C66491"/>
    <w:rsid w:val="00CB1B82"/>
    <w:rsid w:val="00CB7900"/>
    <w:rsid w:val="00CD79D3"/>
    <w:rsid w:val="00CE5BF0"/>
    <w:rsid w:val="00D167C8"/>
    <w:rsid w:val="00D16992"/>
    <w:rsid w:val="00D35234"/>
    <w:rsid w:val="00D5132C"/>
    <w:rsid w:val="00D53D9F"/>
    <w:rsid w:val="00D7436B"/>
    <w:rsid w:val="00D74AA1"/>
    <w:rsid w:val="00DD4FE2"/>
    <w:rsid w:val="00DF56F0"/>
    <w:rsid w:val="00E21A3A"/>
    <w:rsid w:val="00E438A1"/>
    <w:rsid w:val="00ED33FC"/>
    <w:rsid w:val="00EF5391"/>
    <w:rsid w:val="00F01E19"/>
    <w:rsid w:val="00F20F6B"/>
    <w:rsid w:val="00F2315F"/>
    <w:rsid w:val="00F239C9"/>
    <w:rsid w:val="00F47DDE"/>
    <w:rsid w:val="00F92D9D"/>
    <w:rsid w:val="00FD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4AA1"/>
    <w:pPr>
      <w:spacing w:before="0" w:after="0"/>
    </w:pPr>
  </w:style>
  <w:style w:type="table" w:styleId="a6">
    <w:name w:val="Table Grid"/>
    <w:basedOn w:val="a1"/>
    <w:uiPriority w:val="59"/>
    <w:rsid w:val="00CB7900"/>
    <w:pPr>
      <w:spacing w:before="0" w:beforeAutospacing="0" w:after="0" w:afterAutospacing="0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1B4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311B40"/>
  </w:style>
  <w:style w:type="paragraph" w:styleId="a9">
    <w:name w:val="footer"/>
    <w:basedOn w:val="a"/>
    <w:link w:val="aa"/>
    <w:uiPriority w:val="99"/>
    <w:unhideWhenUsed/>
    <w:rsid w:val="00311B4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311B40"/>
  </w:style>
  <w:style w:type="paragraph" w:styleId="ab">
    <w:name w:val="Normal (Web)"/>
    <w:basedOn w:val="a"/>
    <w:uiPriority w:val="99"/>
    <w:semiHidden/>
    <w:unhideWhenUsed/>
    <w:rsid w:val="00F20F6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20F6B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Коммуникативные УДД</c:v>
                </c:pt>
                <c:pt idx="1">
                  <c:v>Регулятивные УДД</c:v>
                </c:pt>
                <c:pt idx="2">
                  <c:v>Познавательные УДД</c:v>
                </c:pt>
                <c:pt idx="3">
                  <c:v>Личностные УДД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Коммуникативные УДД</c:v>
                </c:pt>
                <c:pt idx="1">
                  <c:v>Регулятивные УДД</c:v>
                </c:pt>
                <c:pt idx="2">
                  <c:v>Познавательные УДД</c:v>
                </c:pt>
                <c:pt idx="3">
                  <c:v>Личностные УДД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Коммуникативные УДД</c:v>
                </c:pt>
                <c:pt idx="1">
                  <c:v>Регулятивные УДД</c:v>
                </c:pt>
                <c:pt idx="2">
                  <c:v>Познавательные УДД</c:v>
                </c:pt>
                <c:pt idx="3">
                  <c:v>Личностные УДД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95828224"/>
        <c:axId val="47506560"/>
      </c:barChart>
      <c:catAx>
        <c:axId val="95828224"/>
        <c:scaling>
          <c:orientation val="minMax"/>
        </c:scaling>
        <c:axPos val="b"/>
        <c:tickLblPos val="nextTo"/>
        <c:crossAx val="47506560"/>
        <c:crosses val="autoZero"/>
        <c:auto val="1"/>
        <c:lblAlgn val="ctr"/>
        <c:lblOffset val="100"/>
      </c:catAx>
      <c:valAx>
        <c:axId val="47506560"/>
        <c:scaling>
          <c:orientation val="minMax"/>
        </c:scaling>
        <c:axPos val="l"/>
        <c:majorGridlines/>
        <c:numFmt formatCode="General" sourceLinked="1"/>
        <c:tickLblPos val="nextTo"/>
        <c:crossAx val="95828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семей по составу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полная</c:v>
                </c:pt>
                <c:pt idx="1">
                  <c:v>неполная с матерью</c:v>
                </c:pt>
                <c:pt idx="2">
                  <c:v>неполная с отцом</c:v>
                </c:pt>
                <c:pt idx="3">
                  <c:v>оформлено опекунство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24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Характеристика семей по количеству детей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семей по составу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1 ребенок</c:v>
                </c:pt>
                <c:pt idx="1">
                  <c:v>2 ребенка</c:v>
                </c:pt>
                <c:pt idx="2">
                  <c:v>3 и более ребенка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3 до 5 лет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общий стаж</c:v>
                </c:pt>
                <c:pt idx="1">
                  <c:v>педагогический стаж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общий стаж</c:v>
                </c:pt>
                <c:pt idx="1">
                  <c:v>педагогический стаж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общий стаж</c:v>
                </c:pt>
                <c:pt idx="1">
                  <c:v>педагогический стаж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15 до 25 лет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общий стаж</c:v>
                </c:pt>
                <c:pt idx="1">
                  <c:v>педагогический стаж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25 лет и более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общий стаж</c:v>
                </c:pt>
                <c:pt idx="1">
                  <c:v>педагогический стаж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axId val="97591680"/>
        <c:axId val="97593216"/>
      </c:barChart>
      <c:catAx>
        <c:axId val="97591680"/>
        <c:scaling>
          <c:orientation val="minMax"/>
        </c:scaling>
        <c:axPos val="b"/>
        <c:tickLblPos val="nextTo"/>
        <c:crossAx val="97593216"/>
        <c:crosses val="autoZero"/>
        <c:auto val="1"/>
        <c:lblAlgn val="ctr"/>
        <c:lblOffset val="100"/>
      </c:catAx>
      <c:valAx>
        <c:axId val="97593216"/>
        <c:scaling>
          <c:orientation val="minMax"/>
        </c:scaling>
        <c:axPos val="l"/>
        <c:majorGridlines/>
        <c:numFmt formatCode="General" sourceLinked="1"/>
        <c:tickLblPos val="nextTo"/>
        <c:crossAx val="975916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 педагогическое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axId val="97605120"/>
        <c:axId val="97606656"/>
      </c:barChart>
      <c:catAx>
        <c:axId val="97605120"/>
        <c:scaling>
          <c:orientation val="minMax"/>
        </c:scaling>
        <c:axPos val="b"/>
        <c:numFmt formatCode="General" sourceLinked="1"/>
        <c:tickLblPos val="nextTo"/>
        <c:crossAx val="97606656"/>
        <c:crosses val="autoZero"/>
        <c:auto val="1"/>
        <c:lblAlgn val="ctr"/>
        <c:lblOffset val="100"/>
      </c:catAx>
      <c:valAx>
        <c:axId val="97606656"/>
        <c:scaling>
          <c:orientation val="minMax"/>
        </c:scaling>
        <c:axPos val="l"/>
        <c:majorGridlines/>
        <c:numFmt formatCode="General" sourceLinked="1"/>
        <c:tickLblPos val="nextTo"/>
        <c:crossAx val="9760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218175853018526"/>
          <c:y val="0.14535433070866141"/>
          <c:w val="0.3039293525809274"/>
          <c:h val="0.61405324334458466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EDCA6-4850-4AB2-A20A-D1B519F1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MSI</cp:lastModifiedBy>
  <cp:revision>6</cp:revision>
  <cp:lastPrinted>2021-03-02T13:12:00Z</cp:lastPrinted>
  <dcterms:created xsi:type="dcterms:W3CDTF">2021-03-01T13:11:00Z</dcterms:created>
  <dcterms:modified xsi:type="dcterms:W3CDTF">2021-03-02T13:16:00Z</dcterms:modified>
</cp:coreProperties>
</file>